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026"/>
        </w:tabs>
        <w:ind w:left="1" w:firstLine="0"/>
        <w:jc w:val="center"/>
        <w:rPr/>
      </w:pPr>
      <w:r w:rsidDel="00000000" w:rsidR="00000000" w:rsidRPr="00000000">
        <w:rPr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1353" w:right="164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EXPRESION DE INTERÉS Y PRESENTACIÓN DE CURRÍCULUM VÍTAE (DECLARACIÓN JURADA)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Señor: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572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del Comité de Evaluación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Presente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Ref. : Presentación de expresión de interés para el Procedimiento de Selección para la Contratación del Consultor Individual “ASESOR/A LEGAL UE-MINJUSDH EN EL MARCO DEL PROGRAMA DE INVERSIÓN MEJORAMIENTO DE LOS SERVICIOS DE JUSTICIA NO PENALES A TRAVÉS DE LA IMPLEMENTACIÓN DEL EXPEDIENTE JUDICIAL ELECTRÓNICO (EJE), DE CÓDIGO ÚNICO N° 2413068”.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91"/>
          <w:tab w:val="left" w:leader="none" w:pos="2118"/>
          <w:tab w:val="left" w:leader="none" w:pos="2430"/>
          <w:tab w:val="left" w:leader="none" w:pos="4531"/>
          <w:tab w:val="left" w:leader="none" w:pos="4804"/>
          <w:tab w:val="left" w:leader="none" w:pos="5313"/>
          <w:tab w:val="left" w:leader="none" w:pos="5978"/>
          <w:tab w:val="left" w:leader="none" w:pos="7913"/>
          <w:tab w:val="left" w:leader="none" w:pos="8165"/>
          <w:tab w:val="left" w:leader="none" w:pos="8873"/>
        </w:tabs>
        <w:ind w:left="1" w:firstLine="0"/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Yo, </w:t>
        <w:tab/>
        <w:tab/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, con D.N.I. N° </w:t>
      </w:r>
      <w:r w:rsidDel="00000000" w:rsidR="00000000" w:rsidRPr="00000000">
        <w:rPr>
          <w:i w:val="1"/>
          <w:iCs w:val="1"/>
          <w:sz w:val="20"/>
          <w:szCs w:val="20"/>
          <w:highlight w:val="yellow"/>
          <w:u w:val="single"/>
          <w:rtl w:val="0"/>
        </w:rPr>
        <w:tab/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, R.U.C. N° </w:t>
      </w:r>
      <w:r w:rsidDel="00000000" w:rsidR="00000000" w:rsidRPr="00000000">
        <w:rPr>
          <w:i w:val="1"/>
          <w:iCs w:val="1"/>
          <w:sz w:val="20"/>
          <w:szCs w:val="20"/>
          <w:highlight w:val="yellow"/>
          <w:u w:val="single"/>
          <w:rtl w:val="0"/>
        </w:rPr>
        <w:tab/>
      </w:r>
      <w:r w:rsidDel="00000000" w:rsidR="00000000" w:rsidRPr="00000000">
        <w:rPr>
          <w:i w:val="1"/>
          <w:iCs w:val="1"/>
          <w:sz w:val="20"/>
          <w:szCs w:val="20"/>
          <w:highlight w:val="yellow"/>
          <w:rtl w:val="0"/>
        </w:rPr>
        <w:t xml:space="preserve">, de profesión </w:t>
        <w:tab/>
        <w:t xml:space="preserve">, con Domicilio Legal en </w:t>
        <w:tab/>
        <w:tab/>
        <w:t xml:space="preserve">; a Ustedes digo:</w:t>
      </w:r>
    </w:p>
    <w:p w:rsidR="00000000" w:rsidDel="00000000" w:rsidP="00000000" w:rsidRDefault="00000000" w:rsidRPr="00000000" w14:paraId="0000000B">
      <w:pPr>
        <w:tabs>
          <w:tab w:val="left" w:leader="none" w:pos="1191"/>
          <w:tab w:val="left" w:leader="none" w:pos="2118"/>
          <w:tab w:val="left" w:leader="none" w:pos="2430"/>
          <w:tab w:val="left" w:leader="none" w:pos="4531"/>
          <w:tab w:val="left" w:leader="none" w:pos="4804"/>
          <w:tab w:val="left" w:leader="none" w:pos="5313"/>
          <w:tab w:val="left" w:leader="none" w:pos="5978"/>
          <w:tab w:val="left" w:leader="none" w:pos="7913"/>
          <w:tab w:val="left" w:leader="none" w:pos="8165"/>
          <w:tab w:val="left" w:leader="none" w:pos="8873"/>
        </w:tabs>
        <w:ind w:left="1" w:firstLine="0"/>
        <w:rPr>
          <w:i w:val="1"/>
          <w:i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Presento mi expresión de interés para la Consultoría Individual como “ASESOR/A LEGAL UE-MINJUSDH EN EL MARCO DEL PROGRAMA DE INVERSIÓN MEJORAMIENTO DE LOS SERVICIOS DE JUSTICIA NO PENALES A TRAVÉS DE LA IMPLEMENTACIÓN DEL EXPEDIENTE JUDICIAL ELECTRÓNICO (EJE), DE CÓDIGO ÚNICO N° 2413068”.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27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Asimismo, declaro conocer que la Unidad Ejecutora 003: Programa de Modernización del Sistema de Administración de Justicia, se encuentra facultada a verificar el contenido de la presente, así como de la documentación sustentatoria de mi contratación, que como Currículum Vitae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documentado (Anexo N° 02) y con el carácter de Declaración Jurada acompaño al presente, y que en cualquier caso de información falsa, es de aplicación -en lo pertinente- lo dispuesto en el numeral 32.3 del Artículo 32° de la Ley N° 27444 Ley del Procedimiento Administrativo General.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7"/>
          <w:tab w:val="left" w:leader="none" w:pos="2956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Lima,        de ……………. de 2026.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288566</wp:posOffset>
                </wp:positionV>
                <wp:extent cx="1894839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98581" y="3779365"/>
                          <a:ext cx="1894839" cy="1270"/>
                        </a:xfrm>
                        <a:custGeom>
                          <a:rect b="b" l="l" r="r" t="t"/>
                          <a:pathLst>
                            <a:path extrusionOk="0" h="120000"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288566</wp:posOffset>
                </wp:positionV>
                <wp:extent cx="1894839" cy="12700"/>
                <wp:effectExtent b="0" l="0" r="0" t="0"/>
                <wp:wrapTopAndBottom distB="0" dist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83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" w:right="708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Firma, Nombre y Apellido DNI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235038</wp:posOffset>
                </wp:positionV>
                <wp:extent cx="18288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3776825"/>
                          <a:ext cx="1828800" cy="6350"/>
                        </a:xfrm>
                        <a:custGeom>
                          <a:rect b="b" l="l" r="r" t="t"/>
                          <a:pathLst>
                            <a:path extrusionOk="0" h="6350" w="182880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634</wp:posOffset>
                </wp:positionH>
                <wp:positionV relativeFrom="paragraph">
                  <wp:posOffset>235038</wp:posOffset>
                </wp:positionV>
                <wp:extent cx="1828800" cy="12700"/>
                <wp:effectExtent b="0" l="0" r="0" t="0"/>
                <wp:wrapTopAndBottom distB="0" dist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before="87" w:lineRule="auto"/>
        <w:ind w:left="143" w:hanging="142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El Currículo Vitae deberá contener fechas precisas de inicio y de fin tanto de la formación académica como de la experiencia laboral por cada empresa o institución donde el consultor ha laborado anteriormente.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484505</wp:posOffset>
            </wp:positionV>
            <wp:extent cx="2171700" cy="390525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  <w:sectPr>
          <w:headerReference r:id="rId9" w:type="default"/>
          <w:headerReference r:id="rId10" w:type="even"/>
          <w:pgSz w:h="16860" w:w="11920" w:orient="portrait"/>
          <w:pgMar w:bottom="280" w:top="780" w:left="1559" w:right="99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759"/>
        </w:tabs>
        <w:ind w:left="119" w:firstLine="0"/>
        <w:rPr>
          <w:sz w:val="33.333333333333336"/>
          <w:szCs w:val="33.333333333333336"/>
          <w:vertAlign w:val="superscript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4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02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7" w:right="257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DECLARACIÓN JURADA - CERTIFICADO DE ELEGIBILIDAD DE CONSULTORES INDIVIDUALES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  <w:tab w:val="left" w:leader="none" w:pos="5723"/>
          <w:tab w:val="left" w:leader="none" w:pos="7722"/>
          <w:tab w:val="left" w:leader="none" w:pos="9602"/>
        </w:tabs>
        <w:spacing w:after="0" w:before="0" w:line="240" w:lineRule="auto"/>
        <w:ind w:left="1419" w:right="28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Mediante la presente, quien suscribe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, con DNI N°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, RUC N°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y domicilio en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en mi calidad de persona natural en el ejercicio libre de mi profesión, declaro bajo juramento para efectos de los servicios de consultoría que prestaré a la Unidad Ejecutora 003: Programa de Modernización del Sistema de Administración de Justicia en el marco de Programa “Mejoramiento de los Servicios de Justicia No Penales a Través de la Implementación del Expediente Judicial Electrónico (EJE)”; lo siguiente: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57"/>
          <w:tab w:val="left" w:leader="none" w:pos="1702"/>
        </w:tabs>
        <w:spacing w:after="0" w:before="243" w:line="240" w:lineRule="auto"/>
        <w:ind w:left="1702" w:right="277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tengo relación de trabajo o familiar, hasta el cuarto grado de consanguinidad, segundo grado de afinidad y por razón de matrimonio, con algún funcionario y/o personal del Programa, que estén directa o indirectamente involucrados en la preparación de los Términos de Referencia, el proceso de selección o con la supervisión del contrato.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67"/>
        </w:tabs>
        <w:spacing w:after="0" w:before="1" w:line="240" w:lineRule="auto"/>
        <w:ind w:left="1767" w:right="286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soy empleado público, funcionario o servidor público, de alguna entidad del Estado al momento de suscribir el contrato con la UE 003. En caso de serlo, sería únicamente la función docente y la percepción de dietas por participar de un (1) directorio de entidades o empresas públicas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767"/>
        </w:tabs>
        <w:spacing w:after="0" w:before="0" w:line="240" w:lineRule="auto"/>
        <w:ind w:left="1767" w:right="286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tengo conflicto de interés con consultorías previas o vigentes con respecto al objeto del contrato suscrito con el Programa, o que generen una situación de no poder prestar mis servicios en la forma que mejor convenga a los intereses perseguidos; por lo tanto, brindaré asesoramiento profesional, objetivo e imparcial, y en todo momento otorgaré la máxima importancia a los intereses del contratante, sin consideración alguna respecto de cualquier trabajo futuro o a otros intereses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</w:tabs>
        <w:spacing w:after="0" w:before="0" w:line="240" w:lineRule="auto"/>
        <w:ind w:left="1700" w:right="0" w:hanging="219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registro antecedentes penales.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767"/>
        </w:tabs>
        <w:spacing w:after="0" w:before="1" w:line="240" w:lineRule="auto"/>
        <w:ind w:left="1767" w:right="280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me encuentro inhabilitado o impedido para poder contratar con el Estado (UE 003), incluso por disposición del propio Banco Internacional de Reconstrucción y Fomento - BIRF (Banco Mundial), ni me encuentro inscrito en el Registro Nacional de Sanciones de Destitución y Despido-RNSDD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67"/>
        </w:tabs>
        <w:spacing w:after="0" w:before="2" w:line="240" w:lineRule="auto"/>
        <w:ind w:left="1767" w:right="294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Conozco plenamente los derechos y obligaciones derivados de la contratación con recursos provenientes del financiamiento del Banco y de la aplicación de la legislación peruana en materia de contratos de consultoría.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0"/>
          <w:tab w:val="left" w:leader="none" w:pos="1767"/>
        </w:tabs>
        <w:spacing w:after="0" w:before="0" w:line="240" w:lineRule="auto"/>
        <w:ind w:left="1767" w:right="287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  <w:tab w:val="left" w:leader="none" w:pos="1767"/>
        </w:tabs>
        <w:spacing w:after="0" w:before="0" w:line="240" w:lineRule="auto"/>
        <w:ind w:left="1767" w:right="280" w:hanging="285.9999999999999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Cualquier información falsa o equívoca con relación a la presente declaración y requerimientos de elegibilidad, así como a la consignada en mi Currículo Vitae, tornará nula y sin efecto mi contratación y no tendré derecho a honorario alguno.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1419" w:right="27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Finalmente, declaro conocer que la UE 003 se encuentra facultada a verificar el contenido de la presente Declaración Jurada, así como de la documentación sustentatoria de mi contratación y que, en cualquier caso, de falsedad, es de aplicación -en lo pertinente- lo dispuesto en el numeral 32.3 del Artículo 32° de la Ley N° 27444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Ley del Procedimiento Administrativo General.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2956"/>
        </w:tabs>
        <w:spacing w:after="0" w:before="0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Lima,    de …………………. de 2026.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286152</wp:posOffset>
                </wp:positionV>
                <wp:extent cx="22739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09033" y="3779365"/>
                          <a:ext cx="2273935" cy="1270"/>
                        </a:xfrm>
                        <a:custGeom>
                          <a:rect b="b" l="l" r="r" t="t"/>
                          <a:pathLst>
                            <a:path extrusionOk="0" h="120000"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933450</wp:posOffset>
                </wp:positionH>
                <wp:positionV relativeFrom="paragraph">
                  <wp:posOffset>286152</wp:posOffset>
                </wp:positionV>
                <wp:extent cx="2273935" cy="12700"/>
                <wp:effectExtent b="0" l="0" r="0" t="0"/>
                <wp:wrapTopAndBottom distB="0" distT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9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39" w:right="6124" w:hanging="80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Firma, Nombre y Apellido D.N.I.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901065</wp:posOffset>
                </wp:positionH>
                <wp:positionV relativeFrom="paragraph">
                  <wp:posOffset>167651</wp:posOffset>
                </wp:positionV>
                <wp:extent cx="18288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31600" y="3776825"/>
                          <a:ext cx="1828800" cy="6350"/>
                        </a:xfrm>
                        <a:custGeom>
                          <a:rect b="b" l="l" r="r" t="t"/>
                          <a:pathLst>
                            <a:path extrusionOk="0" h="6350" w="182880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901065</wp:posOffset>
                </wp:positionH>
                <wp:positionV relativeFrom="paragraph">
                  <wp:posOffset>167651</wp:posOffset>
                </wp:positionV>
                <wp:extent cx="1828800" cy="12700"/>
                <wp:effectExtent b="0" l="0" r="0" t="0"/>
                <wp:wrapTopAndBottom distB="0" dist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before="56" w:line="171" w:lineRule="auto"/>
        <w:ind w:left="1419" w:firstLine="0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9"/>
          <w:szCs w:val="9"/>
          <w:vertAlign w:val="baseline"/>
          <w:rtl w:val="0"/>
        </w:rPr>
        <w:t xml:space="preserve">3 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Ley Nº 28175.</w:t>
      </w:r>
    </w:p>
    <w:p w:rsidR="00000000" w:rsidDel="00000000" w:rsidP="00000000" w:rsidRDefault="00000000" w:rsidRPr="00000000" w14:paraId="0000003C">
      <w:pPr>
        <w:ind w:left="1561" w:hanging="141.9999999999999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9"/>
          <w:szCs w:val="9"/>
          <w:vertAlign w:val="baseline"/>
          <w:rtl w:val="0"/>
        </w:rPr>
        <w:t xml:space="preserve">5 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“ Regulaciones de Adquisiciones para Prestatarios en Proyectos de Inversión – Adquisiciones en Operaciones de Financiamiento para Proyectos de Inversión, Bienes, Obras, Servicios de No-Consultoría y Servicios de Consultoría”.</w:t>
      </w:r>
    </w:p>
    <w:p w:rsidR="00000000" w:rsidDel="00000000" w:rsidP="00000000" w:rsidRDefault="00000000" w:rsidRPr="00000000" w14:paraId="0000003D">
      <w:pPr>
        <w:spacing w:line="165" w:lineRule="auto"/>
        <w:ind w:left="1419" w:firstLine="0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9"/>
          <w:szCs w:val="9"/>
          <w:vertAlign w:val="baseline"/>
          <w:rtl w:val="0"/>
        </w:rPr>
        <w:t xml:space="preserve">6 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Resolución Ministerial N° 017-2007-PCM- Directiva para el Uso, Registro y Consulta del Sistema Electrónico del Registro Nacional de Sanciones de Destitución y Despido.</w:t>
      </w:r>
    </w:p>
    <w:p w:rsidR="00000000" w:rsidDel="00000000" w:rsidP="00000000" w:rsidRDefault="00000000" w:rsidRPr="00000000" w14:paraId="0000003E">
      <w:pPr>
        <w:spacing w:line="168" w:lineRule="auto"/>
        <w:ind w:left="1419" w:firstLine="0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9"/>
          <w:szCs w:val="9"/>
          <w:vertAlign w:val="baseline"/>
          <w:rtl w:val="0"/>
        </w:rPr>
        <w:t xml:space="preserve">8 </w:t>
      </w: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Ley N° 27444 - Ley del Procedimiento Administrativo General</w:t>
      </w:r>
    </w:p>
    <w:p w:rsidR="00000000" w:rsidDel="00000000" w:rsidP="00000000" w:rsidRDefault="00000000" w:rsidRPr="00000000" w14:paraId="0000003F">
      <w:pPr>
        <w:ind w:left="1561" w:right="275" w:firstLine="0"/>
        <w:jc w:val="both"/>
        <w:rPr>
          <w:i w:val="1"/>
          <w:iCs w:val="1"/>
          <w:sz w:val="14"/>
          <w:szCs w:val="14"/>
        </w:rPr>
      </w:pPr>
      <w:r w:rsidDel="00000000" w:rsidR="00000000" w:rsidRPr="00000000">
        <w:rPr>
          <w:i w:val="1"/>
          <w:iCs w:val="1"/>
          <w:sz w:val="14"/>
          <w:szCs w:val="14"/>
          <w:rtl w:val="0"/>
        </w:rPr>
        <w:t xml:space="preserve">Artículo 32°, numeral 32.3: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4848860</wp:posOffset>
            </wp:positionH>
            <wp:positionV relativeFrom="paragraph">
              <wp:posOffset>574688</wp:posOffset>
            </wp:positionV>
            <wp:extent cx="1646423" cy="280797"/>
            <wp:effectExtent b="0" l="0" r="0" t="0"/>
            <wp:wrapTopAndBottom distB="0" dist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type w:val="nextPage"/>
      <w:pgSz w:h="16860" w:w="11920" w:orient="portrait"/>
      <w:pgMar w:bottom="280" w:top="180" w:left="141" w:right="992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-80008</wp:posOffset>
          </wp:positionH>
          <wp:positionV relativeFrom="paragraph">
            <wp:posOffset>-97788</wp:posOffset>
          </wp:positionV>
          <wp:extent cx="3715268" cy="457264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5268" cy="4572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3885352</wp:posOffset>
          </wp:positionH>
          <wp:positionV relativeFrom="paragraph">
            <wp:posOffset>-145413</wp:posOffset>
          </wp:positionV>
          <wp:extent cx="1514475" cy="504825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504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8"/>
        <w:szCs w:val="18"/>
      </w:rPr>
    </w:pPr>
    <w:bookmarkStart w:colFirst="0" w:colLast="0" w:name="_heading=h.hbt61hqpunns" w:id="0"/>
    <w:bookmarkEnd w:id="0"/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“Decenio de la Igualdad de oportunidades para mujeres y hombres”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“Año de la Esperanza y el Fortalecimiento de la Democracia” </w:t>
    </w:r>
  </w:p>
  <w:p w:rsidR="00000000" w:rsidDel="00000000" w:rsidP="00000000" w:rsidRDefault="00000000" w:rsidRPr="00000000" w14:paraId="00000045">
    <w:pPr>
      <w:ind w:left="708" w:hanging="708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767" w:hanging="221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661" w:hanging="220.99999999999955"/>
      </w:pPr>
      <w:rPr/>
    </w:lvl>
    <w:lvl w:ilvl="2">
      <w:start w:val="0"/>
      <w:numFmt w:val="bullet"/>
      <w:lvlText w:val="•"/>
      <w:lvlJc w:val="left"/>
      <w:pPr>
        <w:ind w:left="3563" w:hanging="221"/>
      </w:pPr>
      <w:rPr/>
    </w:lvl>
    <w:lvl w:ilvl="3">
      <w:start w:val="0"/>
      <w:numFmt w:val="bullet"/>
      <w:lvlText w:val="•"/>
      <w:lvlJc w:val="left"/>
      <w:pPr>
        <w:ind w:left="4465" w:hanging="221"/>
      </w:pPr>
      <w:rPr/>
    </w:lvl>
    <w:lvl w:ilvl="4">
      <w:start w:val="0"/>
      <w:numFmt w:val="bullet"/>
      <w:lvlText w:val="•"/>
      <w:lvlJc w:val="left"/>
      <w:pPr>
        <w:ind w:left="5367" w:hanging="221"/>
      </w:pPr>
      <w:rPr/>
    </w:lvl>
    <w:lvl w:ilvl="5">
      <w:start w:val="0"/>
      <w:numFmt w:val="bullet"/>
      <w:lvlText w:val="•"/>
      <w:lvlJc w:val="left"/>
      <w:pPr>
        <w:ind w:left="6269" w:hanging="221"/>
      </w:pPr>
      <w:rPr/>
    </w:lvl>
    <w:lvl w:ilvl="6">
      <w:start w:val="0"/>
      <w:numFmt w:val="bullet"/>
      <w:lvlText w:val="•"/>
      <w:lvlJc w:val="left"/>
      <w:pPr>
        <w:ind w:left="7170" w:hanging="221"/>
      </w:pPr>
      <w:rPr/>
    </w:lvl>
    <w:lvl w:ilvl="7">
      <w:start w:val="0"/>
      <w:numFmt w:val="bullet"/>
      <w:lvlText w:val="•"/>
      <w:lvlJc w:val="left"/>
      <w:pPr>
        <w:ind w:left="8072" w:hanging="221"/>
      </w:pPr>
      <w:rPr/>
    </w:lvl>
    <w:lvl w:ilvl="8">
      <w:start w:val="0"/>
      <w:numFmt w:val="bullet"/>
      <w:lvlText w:val="•"/>
      <w:lvlJc w:val="left"/>
      <w:pPr>
        <w:ind w:left="8974" w:hanging="221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702" w:hanging="243.00000000000023"/>
      </w:pPr>
      <w:rPr>
        <w:rFonts w:ascii="Calibri" w:cs="Calibri" w:eastAsia="Calibri" w:hAnsi="Calibri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607" w:hanging="243"/>
      </w:pPr>
      <w:rPr/>
    </w:lvl>
    <w:lvl w:ilvl="2">
      <w:start w:val="0"/>
      <w:numFmt w:val="bullet"/>
      <w:lvlText w:val="•"/>
      <w:lvlJc w:val="left"/>
      <w:pPr>
        <w:ind w:left="3515" w:hanging="243"/>
      </w:pPr>
      <w:rPr/>
    </w:lvl>
    <w:lvl w:ilvl="3">
      <w:start w:val="0"/>
      <w:numFmt w:val="bullet"/>
      <w:lvlText w:val="•"/>
      <w:lvlJc w:val="left"/>
      <w:pPr>
        <w:ind w:left="4423" w:hanging="243"/>
      </w:pPr>
      <w:rPr/>
    </w:lvl>
    <w:lvl w:ilvl="4">
      <w:start w:val="0"/>
      <w:numFmt w:val="bullet"/>
      <w:lvlText w:val="•"/>
      <w:lvlJc w:val="left"/>
      <w:pPr>
        <w:ind w:left="5331" w:hanging="243"/>
      </w:pPr>
      <w:rPr/>
    </w:lvl>
    <w:lvl w:ilvl="5">
      <w:start w:val="0"/>
      <w:numFmt w:val="bullet"/>
      <w:lvlText w:val="•"/>
      <w:lvlJc w:val="left"/>
      <w:pPr>
        <w:ind w:left="6239" w:hanging="243"/>
      </w:pPr>
      <w:rPr/>
    </w:lvl>
    <w:lvl w:ilvl="6">
      <w:start w:val="0"/>
      <w:numFmt w:val="bullet"/>
      <w:lvlText w:val="•"/>
      <w:lvlJc w:val="left"/>
      <w:pPr>
        <w:ind w:left="7146" w:hanging="242.9999999999991"/>
      </w:pPr>
      <w:rPr/>
    </w:lvl>
    <w:lvl w:ilvl="7">
      <w:start w:val="0"/>
      <w:numFmt w:val="bullet"/>
      <w:lvlText w:val="•"/>
      <w:lvlJc w:val="left"/>
      <w:pPr>
        <w:ind w:left="8054" w:hanging="243"/>
      </w:pPr>
      <w:rPr/>
    </w:lvl>
    <w:lvl w:ilvl="8">
      <w:start w:val="0"/>
      <w:numFmt w:val="bullet"/>
      <w:lvlText w:val="•"/>
      <w:lvlJc w:val="left"/>
      <w:pPr>
        <w:ind w:left="8962" w:hanging="24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header" Target="header1.xml"/><Relationship Id="rId12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HGPjO/QXy7GZtKY24UNrwAr6g==">CgMxLjAyDmguaGJ0NjFocXB1bm5zOAByITEzOEhPdGVJWFRDWGQ0NG5NWE1LbTBHUGxfdVlwQkFIRw==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